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3DFE7D12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bookmarkStart w:id="0" w:name="_GoBack"/>
      <w:bookmarkEnd w:id="0"/>
      <w:r w:rsidR="00973C3C">
        <w:rPr>
          <w:b w:val="0"/>
          <w:i/>
          <w:iCs/>
          <w:sz w:val="24"/>
        </w:rPr>
        <w:t>от 30.05.2023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6E076635" w:rsidR="00F94373" w:rsidRDefault="009C1E00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AC0137">
        <w:rPr>
          <w:spacing w:val="-2"/>
          <w:sz w:val="28"/>
          <w:szCs w:val="28"/>
        </w:rPr>
        <w:t>856 289 203,28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77A4EF2B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AC0137">
        <w:t>858 625 378,52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9C1E00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9C1E00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3E745165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fldSimple w:instr=" DOCPROPERTY Суммы.публичные1плановыйпериод \* MERGEFORMAT ">
        <w:r w:rsidR="00F94373">
          <w:t>14 </w:t>
        </w:r>
      </w:fldSimple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p w14:paraId="38DAED18" w14:textId="5983B949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3D20FD">
        <w:t xml:space="preserve">12 835 577,49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p w14:paraId="41C67C33" w14:textId="77777777" w:rsidR="00F94373" w:rsidRDefault="009C1E00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EE6DEE">
        <w:t>Утвердить:</w:t>
      </w:r>
    </w:p>
    <w:p w14:paraId="76977921" w14:textId="5197DDAC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 xml:space="preserve">видов расходов классификации расходов </w:t>
      </w:r>
      <w:r w:rsidR="00F94373" w:rsidRPr="00EE6DEE">
        <w:lastRenderedPageBreak/>
        <w:t>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9C1E00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9C1E00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9C1E00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9C1E00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9C1E00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9C1E00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1381C5D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9B08AC">
        <w:t>500 000,00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9C1E00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9C1E00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537C79BA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3B304A">
        <w:t>597 572 884,86 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1E1C3552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8F6CB1">
        <w:t xml:space="preserve">58 262 947,76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2C95CC61" w:rsidR="00F94373" w:rsidRDefault="009C1E00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t xml:space="preserve">19 472 105,76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35E45917" w14:textId="6E1D9832" w:rsidR="00F94373" w:rsidRDefault="002D1264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F94373"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9C1E00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9C1E00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9C1E00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9C1E00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9C1E00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9C1E00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lastRenderedPageBreak/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E4034"/>
    <w:rsid w:val="000F2520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7FAF"/>
    <w:rsid w:val="00226180"/>
    <w:rsid w:val="002533B1"/>
    <w:rsid w:val="00285117"/>
    <w:rsid w:val="00290669"/>
    <w:rsid w:val="002B3654"/>
    <w:rsid w:val="002D1264"/>
    <w:rsid w:val="002E4E8C"/>
    <w:rsid w:val="00324308"/>
    <w:rsid w:val="00341797"/>
    <w:rsid w:val="003540DC"/>
    <w:rsid w:val="003841D2"/>
    <w:rsid w:val="003B304A"/>
    <w:rsid w:val="003C0E31"/>
    <w:rsid w:val="003D20FD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5F5198"/>
    <w:rsid w:val="00610089"/>
    <w:rsid w:val="00651AFE"/>
    <w:rsid w:val="00667E74"/>
    <w:rsid w:val="006B11D1"/>
    <w:rsid w:val="006C0A2E"/>
    <w:rsid w:val="006C1688"/>
    <w:rsid w:val="006D3069"/>
    <w:rsid w:val="006D47AA"/>
    <w:rsid w:val="00704798"/>
    <w:rsid w:val="0073618B"/>
    <w:rsid w:val="007473BD"/>
    <w:rsid w:val="007F15C7"/>
    <w:rsid w:val="00807706"/>
    <w:rsid w:val="00851256"/>
    <w:rsid w:val="00856CD4"/>
    <w:rsid w:val="008D4F8E"/>
    <w:rsid w:val="008D6EEF"/>
    <w:rsid w:val="008E22FF"/>
    <w:rsid w:val="008F6CB1"/>
    <w:rsid w:val="009513F1"/>
    <w:rsid w:val="00953BC4"/>
    <w:rsid w:val="009639D7"/>
    <w:rsid w:val="00973C3C"/>
    <w:rsid w:val="00974D6E"/>
    <w:rsid w:val="009A79AE"/>
    <w:rsid w:val="009B08AC"/>
    <w:rsid w:val="009C1C3C"/>
    <w:rsid w:val="009C1E00"/>
    <w:rsid w:val="009C7DCC"/>
    <w:rsid w:val="009D21B1"/>
    <w:rsid w:val="00A92B71"/>
    <w:rsid w:val="00AC0137"/>
    <w:rsid w:val="00AC268C"/>
    <w:rsid w:val="00AC3A5E"/>
    <w:rsid w:val="00AE4162"/>
    <w:rsid w:val="00B025C8"/>
    <w:rsid w:val="00B05A87"/>
    <w:rsid w:val="00B16C05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51DA6"/>
    <w:rsid w:val="00C51EA0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0D4A-05F8-4313-B07E-EF5E5A33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9</Pages>
  <Words>4693</Words>
  <Characters>26753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83</cp:revision>
  <cp:lastPrinted>2022-12-16T03:14:00Z</cp:lastPrinted>
  <dcterms:created xsi:type="dcterms:W3CDTF">2021-12-23T03:24:00Z</dcterms:created>
  <dcterms:modified xsi:type="dcterms:W3CDTF">2023-06-07T06:24:00Z</dcterms:modified>
</cp:coreProperties>
</file>